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7B" w:rsidRDefault="00232A7B" w:rsidP="00232A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-447675</wp:posOffset>
                </wp:positionV>
                <wp:extent cx="19050" cy="111823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82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FE25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-35.25pt" to="255pt,8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57D0BE1" wp14:editId="193D7DEC">
            <wp:extent cx="990600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00px-US-DeptOfLabor-Seal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76E" w:rsidRPr="00872721" w:rsidRDefault="00B0576E" w:rsidP="005F024C">
      <w:pPr>
        <w:spacing w:after="0"/>
        <w:rPr>
          <w:rFonts w:ascii="Times New Roman" w:hAnsi="Times New Roman" w:cs="Times New Roman"/>
          <w:color w:val="000000"/>
          <w:lang w:val="en"/>
        </w:rPr>
      </w:pPr>
      <w:r w:rsidRPr="00872721">
        <w:rPr>
          <w:rFonts w:ascii="Times New Roman" w:hAnsi="Times New Roman" w:cs="Times New Roman"/>
          <w:color w:val="000000"/>
          <w:lang w:val="en"/>
        </w:rPr>
        <w:t xml:space="preserve">The Office of Workers' Compensation Programs administers four major disability compensation programs which provide wage replacement benefits, medical treatment, vocational rehabilitation and other benefits to certain workers or their dependents </w:t>
      </w:r>
      <w:r w:rsidR="00872721" w:rsidRPr="00872721">
        <w:rPr>
          <w:rFonts w:ascii="Times New Roman" w:hAnsi="Times New Roman" w:cs="Times New Roman"/>
          <w:color w:val="000000"/>
          <w:lang w:val="en"/>
        </w:rPr>
        <w:t>that</w:t>
      </w:r>
      <w:r w:rsidRPr="00872721">
        <w:rPr>
          <w:rFonts w:ascii="Times New Roman" w:hAnsi="Times New Roman" w:cs="Times New Roman"/>
          <w:color w:val="000000"/>
          <w:lang w:val="en"/>
        </w:rPr>
        <w:t xml:space="preserve"> experience work-related injury or occupational disease.  The three OWCP Programs that participate in the Medical Bill Processing are:</w:t>
      </w:r>
    </w:p>
    <w:p w:rsidR="00872721" w:rsidRPr="00872721" w:rsidRDefault="00872721" w:rsidP="005F024C">
      <w:pPr>
        <w:spacing w:after="0"/>
        <w:rPr>
          <w:rFonts w:cs="Tahoma"/>
          <w:color w:val="000000"/>
          <w:lang w:val="en"/>
        </w:rPr>
      </w:pPr>
    </w:p>
    <w:p w:rsidR="00B0576E" w:rsidRPr="005F024C" w:rsidRDefault="00C25C2E" w:rsidP="00B0576E">
      <w:pPr>
        <w:numPr>
          <w:ilvl w:val="0"/>
          <w:numId w:val="3"/>
        </w:numPr>
        <w:spacing w:after="0" w:line="252" w:lineRule="auto"/>
        <w:contextualSpacing/>
        <w:rPr>
          <w:rStyle w:val="Strong"/>
          <w:rFonts w:cs="Calibri"/>
          <w:b w:val="0"/>
          <w:bCs w:val="0"/>
          <w:sz w:val="18"/>
          <w:szCs w:val="18"/>
        </w:rPr>
      </w:pPr>
      <w:hyperlink r:id="rId6" w:history="1">
        <w:r w:rsidR="00B0576E" w:rsidRPr="005F024C">
          <w:rPr>
            <w:rStyle w:val="Hyperlink"/>
            <w:rFonts w:cs="Tahoma"/>
            <w:b/>
            <w:bCs/>
            <w:sz w:val="18"/>
            <w:szCs w:val="18"/>
            <w:lang w:val="en"/>
          </w:rPr>
          <w:t>Division of Federal Employees' Compensation (DFEC)</w:t>
        </w:r>
      </w:hyperlink>
    </w:p>
    <w:p w:rsidR="00B0576E" w:rsidRPr="005F024C" w:rsidRDefault="00C25C2E" w:rsidP="00B0576E">
      <w:pPr>
        <w:numPr>
          <w:ilvl w:val="0"/>
          <w:numId w:val="3"/>
        </w:numPr>
        <w:spacing w:after="0" w:line="252" w:lineRule="auto"/>
        <w:contextualSpacing/>
        <w:rPr>
          <w:rStyle w:val="Strong"/>
          <w:rFonts w:cs="Calibri"/>
          <w:b w:val="0"/>
          <w:bCs w:val="0"/>
          <w:sz w:val="18"/>
          <w:szCs w:val="18"/>
        </w:rPr>
      </w:pPr>
      <w:hyperlink r:id="rId7" w:history="1">
        <w:r w:rsidR="00B0576E" w:rsidRPr="005F024C">
          <w:rPr>
            <w:rStyle w:val="Hyperlink"/>
            <w:rFonts w:cs="Tahoma"/>
            <w:b/>
            <w:bCs/>
            <w:sz w:val="18"/>
            <w:szCs w:val="18"/>
            <w:lang w:val="en"/>
          </w:rPr>
          <w:t>Division of Energy Employees Occupational Illness Compensation (DEEOIC)</w:t>
        </w:r>
      </w:hyperlink>
    </w:p>
    <w:p w:rsidR="00872721" w:rsidRPr="00872721" w:rsidRDefault="00C25C2E" w:rsidP="00872721">
      <w:pPr>
        <w:numPr>
          <w:ilvl w:val="0"/>
          <w:numId w:val="3"/>
        </w:numPr>
        <w:spacing w:after="0" w:line="252" w:lineRule="auto"/>
        <w:contextualSpacing/>
        <w:rPr>
          <w:rStyle w:val="Hyperlink"/>
          <w:rFonts w:cs="Calibri"/>
          <w:color w:val="auto"/>
          <w:sz w:val="18"/>
          <w:szCs w:val="18"/>
          <w:u w:val="none"/>
        </w:rPr>
      </w:pPr>
      <w:hyperlink r:id="rId8" w:history="1">
        <w:r w:rsidR="00B0576E" w:rsidRPr="00872721">
          <w:rPr>
            <w:rStyle w:val="Hyperlink"/>
            <w:rFonts w:cs="Tahoma"/>
            <w:b/>
            <w:bCs/>
            <w:sz w:val="18"/>
            <w:szCs w:val="18"/>
            <w:lang w:val="en"/>
          </w:rPr>
          <w:t>Division of Coal Mine Workers' Compensation (DCMWC)</w:t>
        </w:r>
      </w:hyperlink>
    </w:p>
    <w:p w:rsidR="00872721" w:rsidRPr="00872721" w:rsidRDefault="00872721" w:rsidP="00872721">
      <w:pPr>
        <w:spacing w:after="0" w:line="252" w:lineRule="auto"/>
        <w:ind w:left="720"/>
        <w:contextualSpacing/>
        <w:rPr>
          <w:rStyle w:val="Strong"/>
          <w:rFonts w:cs="Calibri"/>
          <w:b w:val="0"/>
          <w:bCs w:val="0"/>
          <w:sz w:val="18"/>
          <w:szCs w:val="18"/>
        </w:rPr>
      </w:pPr>
    </w:p>
    <w:p w:rsidR="00B0576E" w:rsidRPr="00872721" w:rsidRDefault="00B0576E" w:rsidP="00B0576E">
      <w:p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 xml:space="preserve">In order to service our injured employees, providers must enroll with OWCP’s Medical Bill Processing Contractor.  </w:t>
      </w:r>
    </w:p>
    <w:p w:rsidR="00AE34F3" w:rsidRPr="00872721" w:rsidRDefault="00AE34F3" w:rsidP="00AE34F3">
      <w:pPr>
        <w:rPr>
          <w:rFonts w:ascii="Times New Roman" w:hAnsi="Times New Roman" w:cs="Times New Roman"/>
          <w:b/>
        </w:rPr>
      </w:pPr>
      <w:r w:rsidRPr="00872721">
        <w:rPr>
          <w:rFonts w:ascii="Times New Roman" w:hAnsi="Times New Roman" w:cs="Times New Roman"/>
          <w:b/>
        </w:rPr>
        <w:t>Electronic Functionality:</w:t>
      </w:r>
    </w:p>
    <w:p w:rsidR="00C25C2E" w:rsidRDefault="00AE34F3" w:rsidP="00AE34F3">
      <w:pPr>
        <w:rPr>
          <w:rFonts w:ascii="Arial" w:hAnsi="Arial" w:cs="Arial"/>
          <w:color w:val="0563C1" w:themeColor="hyperlink"/>
          <w:sz w:val="18"/>
          <w:szCs w:val="18"/>
          <w:u w:val="single"/>
        </w:rPr>
      </w:pPr>
      <w:r w:rsidRPr="00872721">
        <w:rPr>
          <w:rFonts w:ascii="Times New Roman" w:hAnsi="Times New Roman" w:cs="Times New Roman"/>
          <w:sz w:val="20"/>
          <w:szCs w:val="20"/>
        </w:rPr>
        <w:t xml:space="preserve">Doing business electronically saves your </w:t>
      </w:r>
      <w:r w:rsidR="004643BC" w:rsidRPr="00872721">
        <w:rPr>
          <w:rFonts w:ascii="Times New Roman" w:hAnsi="Times New Roman" w:cs="Times New Roman"/>
          <w:sz w:val="20"/>
          <w:szCs w:val="20"/>
        </w:rPr>
        <w:t>practice</w:t>
      </w:r>
      <w:r w:rsidRPr="00872721">
        <w:rPr>
          <w:rFonts w:ascii="Times New Roman" w:hAnsi="Times New Roman" w:cs="Times New Roman"/>
          <w:sz w:val="20"/>
          <w:szCs w:val="20"/>
        </w:rPr>
        <w:t xml:space="preserve"> time and money.  Visit our Web Portal @</w:t>
      </w:r>
      <w:r>
        <w:t xml:space="preserve"> </w:t>
      </w:r>
      <w:hyperlink r:id="rId9" w:history="1">
        <w:r w:rsidR="00C25C2E" w:rsidRPr="00C25C2E">
          <w:rPr>
            <w:rStyle w:val="Hyperlink"/>
            <w:rFonts w:ascii="Arial" w:hAnsi="Arial" w:cs="Arial"/>
            <w:sz w:val="18"/>
            <w:szCs w:val="18"/>
          </w:rPr>
          <w:t>https://owcpmed.</w:t>
        </w:r>
        <w:r w:rsidR="00C25C2E" w:rsidRPr="00C25C2E">
          <w:rPr>
            <w:rStyle w:val="Hyperlink"/>
            <w:rFonts w:ascii="Arial" w:hAnsi="Arial" w:cs="Arial"/>
            <w:sz w:val="18"/>
            <w:szCs w:val="18"/>
          </w:rPr>
          <w:t>d</w:t>
        </w:r>
        <w:r w:rsidR="00C25C2E" w:rsidRPr="00C25C2E">
          <w:rPr>
            <w:rStyle w:val="Hyperlink"/>
            <w:rFonts w:ascii="Arial" w:hAnsi="Arial" w:cs="Arial"/>
            <w:sz w:val="18"/>
            <w:szCs w:val="18"/>
          </w:rPr>
          <w:t>ol.gov/portal/mai</w:t>
        </w:r>
        <w:bookmarkStart w:id="0" w:name="_GoBack"/>
        <w:bookmarkEnd w:id="0"/>
        <w:r w:rsidR="00C25C2E" w:rsidRPr="00C25C2E">
          <w:rPr>
            <w:rStyle w:val="Hyperlink"/>
            <w:rFonts w:ascii="Arial" w:hAnsi="Arial" w:cs="Arial"/>
            <w:sz w:val="18"/>
            <w:szCs w:val="18"/>
          </w:rPr>
          <w:t>n</w:t>
        </w:r>
        <w:r w:rsidR="00C25C2E" w:rsidRPr="00C25C2E">
          <w:rPr>
            <w:rStyle w:val="Hyperlink"/>
            <w:rFonts w:ascii="Arial" w:hAnsi="Arial" w:cs="Arial"/>
            <w:sz w:val="18"/>
            <w:szCs w:val="18"/>
          </w:rPr>
          <w:t>.do</w:t>
        </w:r>
      </w:hyperlink>
    </w:p>
    <w:p w:rsidR="00AE34F3" w:rsidRPr="00872721" w:rsidRDefault="004643BC" w:rsidP="00AE34F3">
      <w:pPr>
        <w:rPr>
          <w:rFonts w:ascii="Times New Roman" w:hAnsi="Times New Roman" w:cs="Times New Roman"/>
        </w:rPr>
      </w:pPr>
      <w:r w:rsidRPr="00872721">
        <w:rPr>
          <w:rFonts w:ascii="Times New Roman" w:hAnsi="Times New Roman" w:cs="Times New Roman"/>
        </w:rPr>
        <w:t>You can access the following information online</w:t>
      </w:r>
      <w:r w:rsidR="00E95C97" w:rsidRPr="00872721">
        <w:rPr>
          <w:rFonts w:ascii="Times New Roman" w:hAnsi="Times New Roman" w:cs="Times New Roman"/>
        </w:rPr>
        <w:t>:</w:t>
      </w:r>
    </w:p>
    <w:p w:rsidR="00AE34F3" w:rsidRPr="00872721" w:rsidRDefault="005F024C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P</w:t>
      </w:r>
      <w:r w:rsidR="00AE34F3" w:rsidRPr="00872721">
        <w:rPr>
          <w:rFonts w:ascii="Times New Roman" w:hAnsi="Times New Roman" w:cs="Times New Roman"/>
          <w:sz w:val="20"/>
          <w:szCs w:val="20"/>
        </w:rPr>
        <w:t>rovider enrollment</w:t>
      </w:r>
    </w:p>
    <w:p w:rsidR="00AE34F3" w:rsidRPr="00872721" w:rsidRDefault="005F024C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lastRenderedPageBreak/>
        <w:t>A</w:t>
      </w:r>
      <w:r w:rsidR="00AE34F3" w:rsidRPr="00872721">
        <w:rPr>
          <w:rFonts w:ascii="Times New Roman" w:hAnsi="Times New Roman" w:cs="Times New Roman"/>
          <w:sz w:val="20"/>
          <w:szCs w:val="20"/>
        </w:rPr>
        <w:t>ccess to bill processing</w:t>
      </w:r>
    </w:p>
    <w:p w:rsidR="00AE34F3" w:rsidRPr="00872721" w:rsidRDefault="005F024C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A</w:t>
      </w:r>
      <w:r w:rsidR="00AE34F3" w:rsidRPr="00872721">
        <w:rPr>
          <w:rFonts w:ascii="Times New Roman" w:hAnsi="Times New Roman" w:cs="Times New Roman"/>
          <w:sz w:val="20"/>
          <w:szCs w:val="20"/>
        </w:rPr>
        <w:t>uthorization access</w:t>
      </w:r>
    </w:p>
    <w:p w:rsidR="00AE34F3" w:rsidRPr="00872721" w:rsidRDefault="00AE34F3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Electronic billing</w:t>
      </w:r>
    </w:p>
    <w:p w:rsidR="00AE34F3" w:rsidRPr="00872721" w:rsidRDefault="00AE34F3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Electronic payments</w:t>
      </w:r>
    </w:p>
    <w:p w:rsidR="00AE34F3" w:rsidRPr="00872721" w:rsidRDefault="00AE34F3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Remittance Vouchers</w:t>
      </w:r>
    </w:p>
    <w:p w:rsidR="00872721" w:rsidRPr="00872721" w:rsidRDefault="00AE34F3" w:rsidP="0087272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Online fee schedule</w:t>
      </w:r>
    </w:p>
    <w:p w:rsidR="005F024C" w:rsidRPr="00872721" w:rsidRDefault="005F024C" w:rsidP="00AE34F3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Online tutorials</w:t>
      </w:r>
    </w:p>
    <w:p w:rsidR="00232A7B" w:rsidRDefault="00232A7B"/>
    <w:p w:rsidR="00232A7B" w:rsidRDefault="00232A7B" w:rsidP="00232A7B">
      <w:pPr>
        <w:jc w:val="center"/>
      </w:pPr>
      <w:r>
        <w:rPr>
          <w:noProof/>
        </w:rPr>
        <w:drawing>
          <wp:inline distT="0" distB="0" distL="0" distR="0">
            <wp:extent cx="2380530" cy="1558534"/>
            <wp:effectExtent l="0" t="0" r="127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departmentoflab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25" cy="156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088" w:rsidRPr="00872721" w:rsidRDefault="00FC6088" w:rsidP="005F024C">
      <w:pPr>
        <w:jc w:val="center"/>
        <w:rPr>
          <w:rFonts w:ascii="Times New Roman" w:hAnsi="Times New Roman" w:cs="Times New Roman"/>
          <w:b/>
          <w:i/>
        </w:rPr>
      </w:pPr>
      <w:r w:rsidRPr="00872721">
        <w:rPr>
          <w:rFonts w:ascii="Times New Roman" w:hAnsi="Times New Roman" w:cs="Times New Roman"/>
          <w:b/>
          <w:i/>
        </w:rPr>
        <w:t>We Value Your Partnership!</w:t>
      </w:r>
    </w:p>
    <w:p w:rsidR="00232A7B" w:rsidRPr="00DB1276" w:rsidRDefault="00FC6088">
      <w:pPr>
        <w:rPr>
          <w:rFonts w:ascii="Times New Roman" w:hAnsi="Times New Roman" w:cs="Times New Roman"/>
        </w:rPr>
      </w:pPr>
      <w:r w:rsidRPr="00DB1276">
        <w:rPr>
          <w:rFonts w:ascii="Times New Roman" w:hAnsi="Times New Roman" w:cs="Times New Roman"/>
        </w:rPr>
        <w:t>You are essential to t</w:t>
      </w:r>
      <w:r w:rsidR="004023A9">
        <w:rPr>
          <w:rFonts w:ascii="Times New Roman" w:hAnsi="Times New Roman" w:cs="Times New Roman"/>
        </w:rPr>
        <w:t xml:space="preserve">he care provided to claimants and </w:t>
      </w:r>
      <w:r w:rsidRPr="00DB1276">
        <w:rPr>
          <w:rFonts w:ascii="Times New Roman" w:hAnsi="Times New Roman" w:cs="Times New Roman"/>
        </w:rPr>
        <w:t xml:space="preserve">play an important role as our partner in improving the quality of care for OWCP claimants.  The Department of Labor is committed to helping our </w:t>
      </w:r>
      <w:r w:rsidR="00872721" w:rsidRPr="00DB1276">
        <w:rPr>
          <w:rFonts w:ascii="Times New Roman" w:hAnsi="Times New Roman" w:cs="Times New Roman"/>
        </w:rPr>
        <w:t>claimants’</w:t>
      </w:r>
      <w:r w:rsidRPr="00DB1276">
        <w:rPr>
          <w:rFonts w:ascii="Times New Roman" w:hAnsi="Times New Roman" w:cs="Times New Roman"/>
        </w:rPr>
        <w:t xml:space="preserve"> access to the highest quality physicians, hospitals and other healthcare providers. Offering the best medical treatment features.</w:t>
      </w:r>
    </w:p>
    <w:p w:rsidR="00DB1276" w:rsidRDefault="004643BC" w:rsidP="00DB1276">
      <w:pPr>
        <w:rPr>
          <w:rFonts w:ascii="Times New Roman" w:hAnsi="Times New Roman" w:cs="Times New Roman"/>
          <w:b/>
        </w:rPr>
      </w:pPr>
      <w:r w:rsidRPr="00DB1276">
        <w:rPr>
          <w:rFonts w:ascii="Times New Roman" w:hAnsi="Times New Roman" w:cs="Times New Roman"/>
          <w:b/>
        </w:rPr>
        <w:lastRenderedPageBreak/>
        <w:t xml:space="preserve">We offer the following </w:t>
      </w:r>
      <w:r w:rsidR="00DB1276">
        <w:rPr>
          <w:rFonts w:ascii="Times New Roman" w:hAnsi="Times New Roman" w:cs="Times New Roman"/>
          <w:b/>
        </w:rPr>
        <w:t xml:space="preserve">services </w:t>
      </w:r>
      <w:r w:rsidRPr="00DB1276">
        <w:rPr>
          <w:rFonts w:ascii="Times New Roman" w:hAnsi="Times New Roman" w:cs="Times New Roman"/>
          <w:b/>
        </w:rPr>
        <w:t>to assist you</w:t>
      </w:r>
      <w:r w:rsidR="00DB1276">
        <w:rPr>
          <w:rFonts w:ascii="Times New Roman" w:hAnsi="Times New Roman" w:cs="Times New Roman"/>
          <w:b/>
        </w:rPr>
        <w:t>:</w:t>
      </w:r>
    </w:p>
    <w:p w:rsidR="00FC6088" w:rsidRPr="00DB1276" w:rsidRDefault="00FC6088" w:rsidP="00DB12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B1276">
        <w:rPr>
          <w:rFonts w:ascii="Times New Roman" w:hAnsi="Times New Roman" w:cs="Times New Roman"/>
          <w:sz w:val="20"/>
          <w:szCs w:val="20"/>
        </w:rPr>
        <w:t>Online Functionality</w:t>
      </w:r>
    </w:p>
    <w:p w:rsidR="00FC6088" w:rsidRPr="00872721" w:rsidRDefault="00FC6088" w:rsidP="00FC6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One day Authorizations</w:t>
      </w:r>
    </w:p>
    <w:p w:rsidR="00C72B40" w:rsidRPr="00872721" w:rsidRDefault="00FC6088" w:rsidP="00FC6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 xml:space="preserve">One </w:t>
      </w:r>
      <w:r w:rsidR="00C72B40" w:rsidRPr="00872721">
        <w:rPr>
          <w:rFonts w:ascii="Times New Roman" w:hAnsi="Times New Roman" w:cs="Times New Roman"/>
          <w:sz w:val="20"/>
          <w:szCs w:val="20"/>
        </w:rPr>
        <w:t>of the</w:t>
      </w:r>
      <w:r w:rsidRPr="00872721">
        <w:rPr>
          <w:rFonts w:ascii="Times New Roman" w:hAnsi="Times New Roman" w:cs="Times New Roman"/>
          <w:sz w:val="20"/>
          <w:szCs w:val="20"/>
        </w:rPr>
        <w:t xml:space="preserve"> shortest application process</w:t>
      </w:r>
      <w:r w:rsidR="00C72B40" w:rsidRPr="00872721">
        <w:rPr>
          <w:rFonts w:ascii="Times New Roman" w:hAnsi="Times New Roman" w:cs="Times New Roman"/>
          <w:sz w:val="20"/>
          <w:szCs w:val="20"/>
        </w:rPr>
        <w:t xml:space="preserve"> in the industry</w:t>
      </w:r>
    </w:p>
    <w:p w:rsidR="00C72B40" w:rsidRPr="00872721" w:rsidRDefault="00C72B40" w:rsidP="00FC6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Reimbursement amounts above Medicare</w:t>
      </w:r>
    </w:p>
    <w:p w:rsidR="00E44DE7" w:rsidRPr="00872721" w:rsidRDefault="00E95C97" w:rsidP="00FC6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>24-hr. Pharmacy call center</w:t>
      </w:r>
    </w:p>
    <w:p w:rsidR="00E95C97" w:rsidRPr="00872721" w:rsidRDefault="00E95C97" w:rsidP="00FC6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72721">
        <w:rPr>
          <w:rFonts w:ascii="Times New Roman" w:hAnsi="Times New Roman" w:cs="Times New Roman"/>
          <w:sz w:val="20"/>
          <w:szCs w:val="20"/>
        </w:rPr>
        <w:t xml:space="preserve">Resource Centers </w:t>
      </w:r>
      <w:r w:rsidR="00872721" w:rsidRPr="00872721">
        <w:rPr>
          <w:rFonts w:ascii="Times New Roman" w:hAnsi="Times New Roman" w:cs="Times New Roman"/>
          <w:sz w:val="20"/>
          <w:szCs w:val="20"/>
        </w:rPr>
        <w:t>–</w:t>
      </w:r>
      <w:r w:rsidRPr="00872721">
        <w:rPr>
          <w:rFonts w:ascii="Times New Roman" w:hAnsi="Times New Roman" w:cs="Times New Roman"/>
          <w:sz w:val="20"/>
          <w:szCs w:val="20"/>
        </w:rPr>
        <w:t xml:space="preserve"> DEEOIC</w:t>
      </w:r>
    </w:p>
    <w:p w:rsidR="00B0576E" w:rsidRPr="00872721" w:rsidRDefault="00E6109C" w:rsidP="00B057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OWCP Primary </w:t>
      </w:r>
      <w:r w:rsidR="00957897">
        <w:rPr>
          <w:rFonts w:ascii="Times New Roman" w:hAnsi="Times New Roman" w:cs="Times New Roman"/>
          <w:b/>
        </w:rPr>
        <w:t>Pricing Methodologies</w:t>
      </w:r>
      <w:r w:rsidR="00DB1276">
        <w:rPr>
          <w:rFonts w:ascii="Times New Roman" w:hAnsi="Times New Roman" w:cs="Times New Roman"/>
          <w:b/>
        </w:rPr>
        <w:t>:</w:t>
      </w:r>
    </w:p>
    <w:p w:rsidR="00B0576E" w:rsidRPr="00DB1276" w:rsidRDefault="00957897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DB1276">
        <w:rPr>
          <w:rFonts w:ascii="Times New Roman" w:hAnsi="Times New Roman" w:cs="Times New Roman"/>
          <w:b/>
          <w:sz w:val="20"/>
          <w:szCs w:val="20"/>
        </w:rPr>
        <w:t xml:space="preserve">DRG </w:t>
      </w:r>
      <w:r w:rsidRPr="00DB1276">
        <w:rPr>
          <w:rFonts w:ascii="Times New Roman" w:hAnsi="Times New Roman" w:cs="Times New Roman"/>
          <w:sz w:val="20"/>
          <w:szCs w:val="20"/>
        </w:rPr>
        <w:t>– Diagnosis Related Grouper</w:t>
      </w:r>
    </w:p>
    <w:p w:rsidR="00B0576E" w:rsidRPr="00DB1276" w:rsidRDefault="00957897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DB1276">
        <w:rPr>
          <w:rFonts w:ascii="Times New Roman" w:hAnsi="Times New Roman" w:cs="Times New Roman"/>
          <w:b/>
          <w:sz w:val="20"/>
          <w:szCs w:val="20"/>
        </w:rPr>
        <w:t xml:space="preserve">CCR – </w:t>
      </w:r>
      <w:r w:rsidRPr="00DB1276">
        <w:rPr>
          <w:rFonts w:ascii="Times New Roman" w:hAnsi="Times New Roman" w:cs="Times New Roman"/>
          <w:sz w:val="20"/>
          <w:szCs w:val="20"/>
        </w:rPr>
        <w:t>Cost of Charge Ratio</w:t>
      </w:r>
    </w:p>
    <w:p w:rsidR="00957897" w:rsidRPr="00DB1276" w:rsidRDefault="00957897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276">
        <w:rPr>
          <w:rFonts w:ascii="Times New Roman" w:hAnsi="Times New Roman" w:cs="Times New Roman"/>
          <w:b/>
          <w:sz w:val="20"/>
          <w:szCs w:val="20"/>
        </w:rPr>
        <w:t xml:space="preserve">AWP – </w:t>
      </w:r>
      <w:r w:rsidRPr="00DB1276">
        <w:rPr>
          <w:rFonts w:ascii="Times New Roman" w:hAnsi="Times New Roman" w:cs="Times New Roman"/>
          <w:sz w:val="20"/>
          <w:szCs w:val="20"/>
        </w:rPr>
        <w:t>Average Wholesale Pricing (Pharmacy)</w:t>
      </w:r>
    </w:p>
    <w:p w:rsidR="00DB1276" w:rsidRPr="00DB1276" w:rsidRDefault="00DB1276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276">
        <w:rPr>
          <w:rFonts w:ascii="Times New Roman" w:hAnsi="Times New Roman" w:cs="Times New Roman"/>
          <w:b/>
          <w:sz w:val="20"/>
          <w:szCs w:val="20"/>
        </w:rPr>
        <w:t xml:space="preserve">OPPS – </w:t>
      </w:r>
      <w:r w:rsidRPr="00DB1276">
        <w:rPr>
          <w:rFonts w:ascii="Times New Roman" w:hAnsi="Times New Roman" w:cs="Times New Roman"/>
          <w:sz w:val="20"/>
          <w:szCs w:val="20"/>
        </w:rPr>
        <w:t>Outpatient Perspective Payment System</w:t>
      </w:r>
    </w:p>
    <w:p w:rsidR="00DB1276" w:rsidRPr="00DB1276" w:rsidRDefault="00DB1276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276">
        <w:rPr>
          <w:rFonts w:ascii="Times New Roman" w:hAnsi="Times New Roman" w:cs="Times New Roman"/>
          <w:b/>
          <w:sz w:val="20"/>
          <w:szCs w:val="20"/>
        </w:rPr>
        <w:t>ASC</w:t>
      </w:r>
      <w:r w:rsidRPr="00DB1276">
        <w:rPr>
          <w:rFonts w:ascii="Times New Roman" w:hAnsi="Times New Roman" w:cs="Times New Roman"/>
          <w:sz w:val="20"/>
          <w:szCs w:val="20"/>
        </w:rPr>
        <w:t xml:space="preserve"> – A</w:t>
      </w:r>
      <w:r>
        <w:rPr>
          <w:rFonts w:ascii="Times New Roman" w:hAnsi="Times New Roman" w:cs="Times New Roman"/>
          <w:sz w:val="20"/>
          <w:szCs w:val="20"/>
        </w:rPr>
        <w:t>mb</w:t>
      </w:r>
      <w:r w:rsidRPr="00DB1276">
        <w:rPr>
          <w:rFonts w:ascii="Times New Roman" w:hAnsi="Times New Roman" w:cs="Times New Roman"/>
          <w:sz w:val="20"/>
          <w:szCs w:val="20"/>
        </w:rPr>
        <w:t>ulatory Surgical Center</w:t>
      </w:r>
    </w:p>
    <w:p w:rsidR="00957897" w:rsidRDefault="00DB1276" w:rsidP="00E95C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276">
        <w:rPr>
          <w:rFonts w:ascii="Times New Roman" w:hAnsi="Times New Roman" w:cs="Times New Roman"/>
          <w:sz w:val="20"/>
          <w:szCs w:val="20"/>
        </w:rPr>
        <w:t>Pay as Billed</w:t>
      </w:r>
    </w:p>
    <w:p w:rsidR="00DB1276" w:rsidRPr="00DB1276" w:rsidRDefault="00E6109C" w:rsidP="00DB12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Anesthesia </w:t>
      </w:r>
      <w:r w:rsidRPr="00172325">
        <w:rPr>
          <w:rFonts w:ascii="Times New Roman" w:hAnsi="Times New Roman" w:cs="Times New Roman"/>
          <w:sz w:val="20"/>
          <w:szCs w:val="20"/>
        </w:rPr>
        <w:t>Fee S</w:t>
      </w:r>
      <w:r w:rsidR="00DB1276" w:rsidRPr="00172325">
        <w:rPr>
          <w:rFonts w:ascii="Times New Roman" w:hAnsi="Times New Roman" w:cs="Times New Roman"/>
          <w:sz w:val="20"/>
          <w:szCs w:val="20"/>
        </w:rPr>
        <w:t>chedule</w:t>
      </w:r>
      <w:r w:rsidR="00DB1276" w:rsidRPr="00DB127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1276" w:rsidRPr="00DB1276" w:rsidSect="00B0576E">
      <w:pgSz w:w="11520" w:h="11520"/>
      <w:pgMar w:top="432" w:right="720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733D2"/>
    <w:multiLevelType w:val="hybridMultilevel"/>
    <w:tmpl w:val="8B38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E11D1"/>
    <w:multiLevelType w:val="hybridMultilevel"/>
    <w:tmpl w:val="760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4E9E"/>
    <w:multiLevelType w:val="hybridMultilevel"/>
    <w:tmpl w:val="70DA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DE1"/>
    <w:multiLevelType w:val="hybridMultilevel"/>
    <w:tmpl w:val="F0DC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8657A"/>
    <w:multiLevelType w:val="hybridMultilevel"/>
    <w:tmpl w:val="5A26C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5"/>
    <w:rsid w:val="0013728F"/>
    <w:rsid w:val="00172325"/>
    <w:rsid w:val="00232A7B"/>
    <w:rsid w:val="00315C0C"/>
    <w:rsid w:val="004023A9"/>
    <w:rsid w:val="00417D0C"/>
    <w:rsid w:val="004643BC"/>
    <w:rsid w:val="005F024C"/>
    <w:rsid w:val="007206BB"/>
    <w:rsid w:val="00872721"/>
    <w:rsid w:val="00957897"/>
    <w:rsid w:val="009C2BE8"/>
    <w:rsid w:val="00AE34F3"/>
    <w:rsid w:val="00B0576E"/>
    <w:rsid w:val="00C25C2E"/>
    <w:rsid w:val="00C72B40"/>
    <w:rsid w:val="00DB1276"/>
    <w:rsid w:val="00E44DE7"/>
    <w:rsid w:val="00E6109C"/>
    <w:rsid w:val="00E95C97"/>
    <w:rsid w:val="00F45FB5"/>
    <w:rsid w:val="00F64498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CC5D1-78D5-4990-9F1D-FEEB8D92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F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0576E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8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5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owcp/dcmw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l.gov/owcp/energ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l.gov/owcp/dfec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wcpmed.dol.gov/portal/mai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MELSON, ALLISON S</cp:lastModifiedBy>
  <cp:revision>3</cp:revision>
  <dcterms:created xsi:type="dcterms:W3CDTF">2017-12-12T19:20:00Z</dcterms:created>
  <dcterms:modified xsi:type="dcterms:W3CDTF">2017-12-12T19:23:00Z</dcterms:modified>
</cp:coreProperties>
</file>